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4797" w:rsidRPr="00014797" w:rsidRDefault="00014797" w:rsidP="00014797">
      <w:pPr>
        <w:tabs>
          <w:tab w:val="left" w:pos="1701"/>
          <w:tab w:val="right" w:pos="9923"/>
        </w:tabs>
        <w:wordWrap/>
        <w:autoSpaceDE/>
        <w:autoSpaceDN/>
        <w:spacing w:before="120" w:after="0" w:line="240" w:lineRule="auto"/>
        <w:jc w:val="left"/>
        <w:rPr>
          <w:rFonts w:ascii="Arial" w:eastAsia="MS Mincho" w:hAnsi="Arial" w:cs="Times New Roman"/>
          <w:b/>
          <w:kern w:val="0"/>
          <w:sz w:val="24"/>
          <w:szCs w:val="24"/>
          <w:lang w:eastAsia="x-none"/>
        </w:rPr>
      </w:pPr>
      <w:r w:rsidRPr="00014797">
        <w:rPr>
          <w:rFonts w:ascii="Arial" w:eastAsia="MS Mincho" w:hAnsi="Arial" w:cs="Times New Roman"/>
          <w:b/>
          <w:kern w:val="0"/>
          <w:sz w:val="24"/>
          <w:szCs w:val="24"/>
          <w:lang w:val="en-GB" w:eastAsia="x-none"/>
        </w:rPr>
        <w:t>3GPP TSG-RAN WG2 Meeting #107</w:t>
      </w:r>
      <w:r w:rsidRPr="00014797">
        <w:rPr>
          <w:rFonts w:ascii="Arial" w:eastAsia="MS Mincho" w:hAnsi="Arial" w:cs="Times New Roman"/>
          <w:b/>
          <w:kern w:val="0"/>
          <w:sz w:val="24"/>
          <w:szCs w:val="24"/>
          <w:lang w:val="en-GB" w:eastAsia="x-none"/>
        </w:rPr>
        <w:tab/>
      </w:r>
      <w:r w:rsidR="00221F71" w:rsidRPr="00221F71">
        <w:rPr>
          <w:rFonts w:ascii="Arial" w:eastAsia="MS Mincho" w:hAnsi="Arial" w:cs="Times New Roman"/>
          <w:b/>
          <w:kern w:val="0"/>
          <w:sz w:val="24"/>
          <w:szCs w:val="24"/>
          <w:lang w:val="en-GB" w:eastAsia="x-none"/>
        </w:rPr>
        <w:t>R2-1911453</w:t>
      </w:r>
    </w:p>
    <w:p w:rsidR="00014797" w:rsidRPr="00014797" w:rsidRDefault="00014797" w:rsidP="00014797">
      <w:pPr>
        <w:tabs>
          <w:tab w:val="left" w:pos="1701"/>
          <w:tab w:val="right" w:pos="9923"/>
        </w:tabs>
        <w:wordWrap/>
        <w:autoSpaceDE/>
        <w:autoSpaceDN/>
        <w:spacing w:before="120" w:after="0" w:line="240" w:lineRule="auto"/>
        <w:jc w:val="left"/>
        <w:rPr>
          <w:rFonts w:ascii="Arial" w:eastAsia="MS Mincho" w:hAnsi="Arial" w:cs="Times New Roman"/>
          <w:b/>
          <w:kern w:val="0"/>
          <w:sz w:val="24"/>
          <w:szCs w:val="24"/>
          <w:lang w:val="en-GB" w:eastAsia="x-none"/>
        </w:rPr>
      </w:pPr>
      <w:r w:rsidRPr="00014797">
        <w:rPr>
          <w:rFonts w:ascii="Arial" w:eastAsia="MS Mincho" w:hAnsi="Arial" w:cs="Times New Roman"/>
          <w:b/>
          <w:kern w:val="0"/>
          <w:sz w:val="24"/>
          <w:szCs w:val="24"/>
          <w:lang w:val="en-GB" w:eastAsia="x-none"/>
        </w:rPr>
        <w:t>Prague, Czech Republic,26th - 30th August 2019</w:t>
      </w:r>
    </w:p>
    <w:p w:rsidR="00303209" w:rsidRPr="00A801BF" w:rsidRDefault="00303209" w:rsidP="00303209">
      <w:pPr>
        <w:widowControl/>
        <w:tabs>
          <w:tab w:val="left" w:pos="1985"/>
        </w:tabs>
        <w:wordWrap/>
        <w:overflowPunct w:val="0"/>
        <w:adjustRightInd w:val="0"/>
        <w:spacing w:after="180" w:line="240" w:lineRule="auto"/>
        <w:textAlignment w:val="baseline"/>
        <w:rPr>
          <w:rFonts w:ascii="Arial" w:eastAsia="바탕" w:hAnsi="Arial" w:cs="Times New Roman"/>
          <w:b/>
          <w:bCs/>
          <w:kern w:val="0"/>
          <w:sz w:val="24"/>
          <w:szCs w:val="20"/>
          <w:lang w:eastAsia="ja-JP"/>
        </w:rPr>
      </w:pP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bookmarkStart w:id="0" w:name="_GoBack"/>
      <w:bookmarkEnd w:id="0"/>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p>
    <w:p w:rsidR="00303209" w:rsidRDefault="00303209" w:rsidP="00303209">
      <w:pPr>
        <w:widowControl/>
        <w:wordWrap/>
        <w:autoSpaceDE/>
        <w:autoSpaceDN/>
        <w:spacing w:after="120" w:line="240" w:lineRule="auto"/>
        <w:jc w:val="left"/>
        <w:rPr>
          <w:rFonts w:ascii="Arial" w:eastAsia="MS Mincho" w:hAnsi="Arial" w:cs="Arial"/>
          <w:b/>
          <w:bCs/>
          <w:kern w:val="0"/>
          <w:sz w:val="24"/>
          <w:szCs w:val="20"/>
          <w:lang w:eastAsia="en-US"/>
        </w:rPr>
      </w:pPr>
      <w:r w:rsidRPr="00A801BF">
        <w:rPr>
          <w:rFonts w:ascii="Arial" w:eastAsia="MS Mincho" w:hAnsi="Arial" w:cs="Arial"/>
          <w:b/>
          <w:bCs/>
          <w:kern w:val="0"/>
          <w:sz w:val="24"/>
          <w:szCs w:val="20"/>
          <w:lang w:eastAsia="en-US"/>
        </w:rPr>
        <w:t>Agenda item:</w:t>
      </w:r>
      <w:r>
        <w:rPr>
          <w:rFonts w:ascii="Arial" w:eastAsia="MS Mincho" w:hAnsi="Arial" w:cs="Arial"/>
          <w:b/>
          <w:bCs/>
          <w:kern w:val="0"/>
          <w:sz w:val="24"/>
          <w:szCs w:val="20"/>
          <w:lang w:eastAsia="en-US"/>
        </w:rPr>
        <w:tab/>
      </w:r>
      <w:r w:rsidR="00C30789" w:rsidRPr="00C30789">
        <w:rPr>
          <w:rFonts w:ascii="Arial" w:eastAsia="MS Mincho" w:hAnsi="Arial" w:cs="Arial"/>
          <w:b/>
          <w:bCs/>
          <w:kern w:val="0"/>
          <w:sz w:val="24"/>
          <w:szCs w:val="20"/>
          <w:lang w:eastAsia="en-US"/>
        </w:rPr>
        <w:t>11.1.2</w:t>
      </w:r>
    </w:p>
    <w:p w:rsidR="00303209" w:rsidRPr="00A801BF" w:rsidRDefault="00303209" w:rsidP="00303209">
      <w:pPr>
        <w:widowControl/>
        <w:wordWrap/>
        <w:autoSpaceDE/>
        <w:autoSpaceDN/>
        <w:spacing w:after="120" w:line="240" w:lineRule="auto"/>
        <w:jc w:val="left"/>
        <w:rPr>
          <w:rFonts w:ascii="Arial" w:eastAsia="바탕" w:hAnsi="Arial" w:cs="Arial"/>
          <w:b/>
          <w:bCs/>
          <w:kern w:val="0"/>
          <w:sz w:val="24"/>
          <w:szCs w:val="20"/>
          <w:lang w:eastAsia="zh-CN"/>
        </w:rPr>
      </w:pPr>
      <w:r w:rsidRPr="00A801BF">
        <w:rPr>
          <w:rFonts w:ascii="Arial" w:eastAsia="바탕" w:hAnsi="Arial" w:cs="Arial"/>
          <w:b/>
          <w:bCs/>
          <w:kern w:val="0"/>
          <w:sz w:val="24"/>
          <w:szCs w:val="20"/>
          <w:lang w:eastAsia="en-US"/>
        </w:rPr>
        <w:t>Source:</w:t>
      </w:r>
      <w:r w:rsidRPr="00A801BF">
        <w:rPr>
          <w:rFonts w:ascii="Arial" w:eastAsia="바탕" w:hAnsi="Arial" w:cs="Arial"/>
          <w:b/>
          <w:bCs/>
          <w:kern w:val="0"/>
          <w:sz w:val="24"/>
          <w:szCs w:val="20"/>
          <w:lang w:eastAsia="en-US"/>
        </w:rPr>
        <w:tab/>
      </w:r>
      <w:r>
        <w:rPr>
          <w:rFonts w:ascii="Arial" w:eastAsia="바탕" w:hAnsi="Arial" w:cs="Arial"/>
          <w:b/>
          <w:bCs/>
          <w:kern w:val="0"/>
          <w:sz w:val="24"/>
          <w:szCs w:val="20"/>
          <w:lang w:eastAsia="en-US"/>
        </w:rPr>
        <w:t>Samsung</w:t>
      </w:r>
    </w:p>
    <w:p w:rsidR="00303209" w:rsidRPr="00A801BF" w:rsidRDefault="00303209" w:rsidP="00303209">
      <w:pPr>
        <w:widowControl/>
        <w:tabs>
          <w:tab w:val="left" w:pos="1985"/>
        </w:tabs>
        <w:wordWrap/>
        <w:overflowPunct w:val="0"/>
        <w:adjustRightInd w:val="0"/>
        <w:spacing w:after="180" w:line="240" w:lineRule="auto"/>
        <w:ind w:left="1985" w:hanging="1985"/>
        <w:jc w:val="left"/>
        <w:textAlignment w:val="baseline"/>
        <w:rPr>
          <w:rFonts w:ascii="Arial" w:eastAsia="바탕" w:hAnsi="Arial" w:cs="Arial"/>
          <w:b/>
          <w:bCs/>
          <w:kern w:val="0"/>
          <w:sz w:val="24"/>
          <w:szCs w:val="20"/>
          <w:lang w:eastAsia="en-US"/>
        </w:rPr>
      </w:pPr>
      <w:r w:rsidRPr="00A801BF">
        <w:rPr>
          <w:rFonts w:ascii="Arial" w:eastAsia="바탕" w:hAnsi="Arial" w:cs="Arial"/>
          <w:b/>
          <w:bCs/>
          <w:kern w:val="0"/>
          <w:sz w:val="24"/>
          <w:szCs w:val="20"/>
          <w:lang w:eastAsia="en-US"/>
        </w:rPr>
        <w:t>Title:</w:t>
      </w:r>
      <w:r>
        <w:rPr>
          <w:rFonts w:ascii="Arial" w:eastAsia="바탕" w:hAnsi="Arial" w:cs="Arial"/>
          <w:b/>
          <w:bCs/>
          <w:kern w:val="0"/>
          <w:sz w:val="24"/>
          <w:szCs w:val="20"/>
          <w:lang w:eastAsia="en-US"/>
        </w:rPr>
        <w:tab/>
      </w:r>
      <w:r w:rsidR="009479EB">
        <w:rPr>
          <w:rFonts w:ascii="Arial" w:eastAsia="바탕" w:hAnsi="Arial" w:cs="Arial" w:hint="eastAsia"/>
          <w:b/>
          <w:bCs/>
          <w:kern w:val="0"/>
          <w:sz w:val="24"/>
          <w:szCs w:val="20"/>
        </w:rPr>
        <w:t xml:space="preserve">IAB data traffic in </w:t>
      </w:r>
      <w:r w:rsidR="009479EB">
        <w:rPr>
          <w:rFonts w:ascii="Arial" w:eastAsia="바탕" w:hAnsi="Arial" w:cs="Arial"/>
          <w:b/>
          <w:bCs/>
          <w:kern w:val="0"/>
          <w:sz w:val="24"/>
          <w:szCs w:val="20"/>
        </w:rPr>
        <w:t xml:space="preserve">IAB </w:t>
      </w:r>
      <w:r w:rsidR="009479EB">
        <w:rPr>
          <w:rFonts w:ascii="Arial" w:eastAsia="바탕" w:hAnsi="Arial" w:cs="Arial" w:hint="eastAsia"/>
          <w:b/>
          <w:bCs/>
          <w:kern w:val="0"/>
          <w:sz w:val="24"/>
          <w:szCs w:val="20"/>
        </w:rPr>
        <w:t>ENDC</w:t>
      </w:r>
      <w:r w:rsidR="009479EB">
        <w:rPr>
          <w:rFonts w:ascii="Arial" w:eastAsia="바탕" w:hAnsi="Arial" w:cs="Arial"/>
          <w:b/>
          <w:bCs/>
          <w:kern w:val="0"/>
          <w:sz w:val="24"/>
          <w:szCs w:val="20"/>
        </w:rPr>
        <w:t xml:space="preserve"> case</w:t>
      </w:r>
    </w:p>
    <w:p w:rsidR="00303209" w:rsidRPr="00A801BF" w:rsidRDefault="00303209" w:rsidP="00303209">
      <w:pPr>
        <w:widowControl/>
        <w:wordWrap/>
        <w:overflowPunct w:val="0"/>
        <w:adjustRightInd w:val="0"/>
        <w:spacing w:after="180" w:line="240" w:lineRule="auto"/>
        <w:jc w:val="left"/>
        <w:textAlignment w:val="baseline"/>
        <w:rPr>
          <w:rFonts w:ascii="Arial" w:eastAsia="바탕" w:hAnsi="Arial" w:cs="Arial"/>
          <w:b/>
          <w:bCs/>
          <w:kern w:val="0"/>
          <w:sz w:val="24"/>
          <w:szCs w:val="20"/>
          <w:lang w:eastAsia="zh-CN"/>
        </w:rPr>
      </w:pPr>
      <w:r w:rsidRPr="00A801BF">
        <w:rPr>
          <w:rFonts w:ascii="Arial" w:eastAsia="바탕" w:hAnsi="Arial" w:cs="Arial"/>
          <w:b/>
          <w:bCs/>
          <w:kern w:val="0"/>
          <w:sz w:val="24"/>
          <w:szCs w:val="20"/>
          <w:lang w:eastAsia="en-US"/>
        </w:rPr>
        <w:t>Document for:</w:t>
      </w:r>
      <w:r w:rsidRPr="00A801BF">
        <w:rPr>
          <w:rFonts w:ascii="Arial" w:eastAsia="바탕" w:hAnsi="Arial" w:cs="Arial"/>
          <w:b/>
          <w:bCs/>
          <w:kern w:val="0"/>
          <w:sz w:val="24"/>
          <w:szCs w:val="20"/>
          <w:lang w:eastAsia="en-US"/>
        </w:rPr>
        <w:tab/>
        <w:t>Discussion and Decision</w:t>
      </w:r>
    </w:p>
    <w:p w:rsidR="00303209" w:rsidRPr="00A801BF" w:rsidRDefault="00303209" w:rsidP="00303209">
      <w:pPr>
        <w:pStyle w:val="1"/>
      </w:pPr>
      <w:r w:rsidRPr="00A801BF">
        <w:rPr>
          <w:rFonts w:hint="eastAsia"/>
        </w:rPr>
        <w:t xml:space="preserve">1 </w:t>
      </w:r>
      <w:r>
        <w:t>I</w:t>
      </w:r>
      <w:r w:rsidRPr="00A801BF">
        <w:rPr>
          <w:rFonts w:hint="eastAsia"/>
        </w:rPr>
        <w:t>ntroduction</w:t>
      </w:r>
    </w:p>
    <w:p w:rsidR="00303209" w:rsidRDefault="00303209" w:rsidP="00303209">
      <w:pPr>
        <w:rPr>
          <w:rFonts w:eastAsiaTheme="minorEastAsia"/>
        </w:rPr>
      </w:pPr>
      <w:r>
        <w:rPr>
          <w:rFonts w:eastAsiaTheme="minorEastAsia" w:hint="eastAsia"/>
        </w:rPr>
        <w:t>In last RAN2#10</w:t>
      </w:r>
      <w:r w:rsidR="00E872CD">
        <w:rPr>
          <w:rFonts w:eastAsiaTheme="minorEastAsia"/>
        </w:rPr>
        <w:t>6</w:t>
      </w:r>
      <w:r>
        <w:rPr>
          <w:rFonts w:eastAsiaTheme="minorEastAsia" w:hint="eastAsia"/>
        </w:rPr>
        <w:t xml:space="preserve"> meeting, we agreed the following:</w:t>
      </w:r>
    </w:p>
    <w:p w:rsidR="009479EB" w:rsidRDefault="009479EB" w:rsidP="009479EB">
      <w:pPr>
        <w:pStyle w:val="Agreement"/>
        <w:numPr>
          <w:ilvl w:val="0"/>
          <w:numId w:val="5"/>
        </w:numPr>
        <w:rPr>
          <w:rFonts w:eastAsia="굴림"/>
        </w:rPr>
      </w:pPr>
      <w:r>
        <w:t xml:space="preserve">For IAB node using EN-DC, from BAP and backhaul RLC channels point of view, this is a single link deployment (BAP route only by NR link). </w:t>
      </w:r>
    </w:p>
    <w:p w:rsidR="00303209" w:rsidRPr="009479EB" w:rsidRDefault="00303209" w:rsidP="00303209">
      <w:pPr>
        <w:rPr>
          <w:rFonts w:ascii="Symbol" w:eastAsia="맑은 고딕" w:hAnsi="Symbol"/>
          <w:sz w:val="22"/>
          <w:lang w:val="en-GB"/>
        </w:rPr>
      </w:pPr>
    </w:p>
    <w:p w:rsidR="00303209" w:rsidRDefault="00E872CD" w:rsidP="00303209">
      <w:pPr>
        <w:rPr>
          <w:rFonts w:eastAsiaTheme="minorEastAsia"/>
        </w:rPr>
      </w:pPr>
      <w:r>
        <w:rPr>
          <w:rFonts w:eastAsiaTheme="minorEastAsia"/>
        </w:rPr>
        <w:t xml:space="preserve">In this paper, we discuss on the </w:t>
      </w:r>
      <w:r w:rsidR="009479EB">
        <w:rPr>
          <w:rFonts w:eastAsiaTheme="minorEastAsia"/>
        </w:rPr>
        <w:t xml:space="preserve">flooding of IAB data traffic on LTE Uu in </w:t>
      </w:r>
      <w:r>
        <w:rPr>
          <w:rFonts w:eastAsiaTheme="minorEastAsia"/>
        </w:rPr>
        <w:t xml:space="preserve">in IAB ENDC case. </w:t>
      </w:r>
    </w:p>
    <w:p w:rsidR="009C71AD" w:rsidRDefault="00303209" w:rsidP="00303209">
      <w:pPr>
        <w:pStyle w:val="1"/>
      </w:pPr>
      <w:r w:rsidRPr="00E57CEE">
        <w:rPr>
          <w:rFonts w:hint="eastAsia"/>
        </w:rPr>
        <w:t xml:space="preserve">2. </w:t>
      </w:r>
      <w:r w:rsidR="009479EB">
        <w:t>D</w:t>
      </w:r>
      <w:r w:rsidR="00E872CD">
        <w:t xml:space="preserve">iscussion </w:t>
      </w:r>
    </w:p>
    <w:p w:rsidR="009479EB" w:rsidRDefault="009479EB" w:rsidP="009479EB">
      <w:pPr>
        <w:rPr>
          <w:rFonts w:hint="eastAsia"/>
        </w:rPr>
      </w:pPr>
      <w:r>
        <w:rPr>
          <w:rFonts w:hint="eastAsia"/>
        </w:rPr>
        <w:t xml:space="preserve">This </w:t>
      </w:r>
      <w:r>
        <w:t>has been not much time to discuss this issue including the other issues in IAB ENDC case. Obviously there is an agreement on there is only single link for the IAB traffic</w:t>
      </w:r>
      <w:r w:rsidR="005A05D9">
        <w:t>. However this is regarded as a normal operation case. Therefore, t</w:t>
      </w:r>
      <w:r>
        <w:rPr>
          <w:rFonts w:hint="eastAsia"/>
        </w:rPr>
        <w:t xml:space="preserve">he only thing to be discussed </w:t>
      </w:r>
      <w:r>
        <w:t xml:space="preserve">here </w:t>
      </w:r>
      <w:r>
        <w:rPr>
          <w:rFonts w:hint="eastAsia"/>
        </w:rPr>
        <w:t xml:space="preserve">is </w:t>
      </w:r>
      <w:r>
        <w:t xml:space="preserve">whether </w:t>
      </w:r>
      <w:r>
        <w:rPr>
          <w:rFonts w:hint="eastAsia"/>
        </w:rPr>
        <w:t>to allow the LTE Uu to carry the data during NR link is broken.</w:t>
      </w:r>
    </w:p>
    <w:p w:rsidR="009479EB" w:rsidRPr="005A05D9" w:rsidRDefault="005A05D9" w:rsidP="009479EB">
      <w:pPr>
        <w:rPr>
          <w:rFonts w:eastAsiaTheme="minorEastAsia" w:hint="eastAsia"/>
        </w:rPr>
      </w:pPr>
      <w:r>
        <w:rPr>
          <w:rFonts w:eastAsiaTheme="minorEastAsia" w:hint="eastAsia"/>
        </w:rPr>
        <w:t>There seems relative pros and cons for each direction.</w:t>
      </w:r>
    </w:p>
    <w:p w:rsidR="009479EB" w:rsidRDefault="009479EB" w:rsidP="009479EB">
      <w:pPr>
        <w:rPr>
          <w:rFonts w:hint="eastAsia"/>
        </w:rPr>
      </w:pPr>
      <w:r>
        <w:rPr>
          <w:rFonts w:hint="eastAsia"/>
        </w:rPr>
        <w:t>To allow:</w:t>
      </w:r>
    </w:p>
    <w:p w:rsidR="009479EB" w:rsidRDefault="009479EB" w:rsidP="009479EB">
      <w:pPr>
        <w:rPr>
          <w:rFonts w:hint="eastAsia"/>
        </w:rPr>
      </w:pPr>
      <w:r>
        <w:rPr>
          <w:rFonts w:hint="eastAsia"/>
        </w:rPr>
        <w:t>- pros: there is no or less latency compared to the only allowing NR link.</w:t>
      </w:r>
    </w:p>
    <w:p w:rsidR="009479EB" w:rsidRDefault="009479EB" w:rsidP="009479EB">
      <w:pPr>
        <w:rPr>
          <w:rFonts w:hint="eastAsia"/>
        </w:rPr>
      </w:pPr>
      <w:r>
        <w:rPr>
          <w:rFonts w:hint="eastAsia"/>
        </w:rPr>
        <w:t>- cons: burden on LTE node for packet processing, and on the X2 interface. And need to further discuss on which layer PDU is carried and so on.</w:t>
      </w:r>
    </w:p>
    <w:p w:rsidR="009479EB" w:rsidRDefault="009479EB" w:rsidP="009479EB">
      <w:pPr>
        <w:rPr>
          <w:rFonts w:hint="eastAsia"/>
        </w:rPr>
      </w:pPr>
    </w:p>
    <w:p w:rsidR="009479EB" w:rsidRDefault="009479EB" w:rsidP="009479EB">
      <w:pPr>
        <w:rPr>
          <w:rFonts w:hint="eastAsia"/>
        </w:rPr>
      </w:pPr>
      <w:r>
        <w:rPr>
          <w:rFonts w:hint="eastAsia"/>
        </w:rPr>
        <w:t>Not to allow:</w:t>
      </w:r>
    </w:p>
    <w:p w:rsidR="009479EB" w:rsidRDefault="009479EB" w:rsidP="009479EB">
      <w:pPr>
        <w:pStyle w:val="a4"/>
        <w:widowControl/>
        <w:numPr>
          <w:ilvl w:val="0"/>
          <w:numId w:val="6"/>
        </w:numPr>
        <w:wordWrap/>
        <w:autoSpaceDE/>
        <w:autoSpaceDN/>
        <w:spacing w:after="0" w:line="240" w:lineRule="auto"/>
        <w:ind w:leftChars="0"/>
        <w:jc w:val="left"/>
        <w:rPr>
          <w:rFonts w:hint="eastAsia"/>
        </w:rPr>
      </w:pPr>
      <w:r>
        <w:t>Pros: simple operation at LTE side</w:t>
      </w:r>
    </w:p>
    <w:p w:rsidR="009479EB" w:rsidRDefault="009479EB" w:rsidP="009479EB">
      <w:pPr>
        <w:pStyle w:val="a4"/>
        <w:widowControl/>
        <w:numPr>
          <w:ilvl w:val="0"/>
          <w:numId w:val="6"/>
        </w:numPr>
        <w:wordWrap/>
        <w:autoSpaceDE/>
        <w:autoSpaceDN/>
        <w:spacing w:after="0" w:line="240" w:lineRule="auto"/>
        <w:ind w:leftChars="0"/>
        <w:jc w:val="left"/>
      </w:pPr>
      <w:r>
        <w:t xml:space="preserve">Cons: possible latency </w:t>
      </w:r>
      <w:r w:rsidR="005A05D9">
        <w:t xml:space="preserve">in UP </w:t>
      </w:r>
      <w:r>
        <w:t>at NR link is broken</w:t>
      </w:r>
    </w:p>
    <w:p w:rsidR="009479EB" w:rsidRPr="005A05D9" w:rsidRDefault="009479EB" w:rsidP="009479EB"/>
    <w:p w:rsidR="009479EB" w:rsidRDefault="005A05D9" w:rsidP="009479EB">
      <w:pPr>
        <w:rPr>
          <w:rFonts w:hint="eastAsia"/>
        </w:rPr>
      </w:pPr>
      <w:r>
        <w:t xml:space="preserve">Even though we have no strong opinion on this, </w:t>
      </w:r>
      <w:r w:rsidR="009479EB">
        <w:rPr>
          <w:rFonts w:hint="eastAsia"/>
        </w:rPr>
        <w:t xml:space="preserve">but it seems that having simple operation is the best. </w:t>
      </w:r>
    </w:p>
    <w:p w:rsidR="009479EB" w:rsidRDefault="009479EB" w:rsidP="009479EB">
      <w:pPr>
        <w:rPr>
          <w:rFonts w:hint="eastAsia"/>
        </w:rPr>
      </w:pPr>
      <w:r>
        <w:rPr>
          <w:rFonts w:hint="eastAsia"/>
        </w:rPr>
        <w:t xml:space="preserve">Therefore, </w:t>
      </w:r>
      <w:r w:rsidR="005A05D9">
        <w:t>we propose not to use LTE Uu for carrying the IAB data during NR link is broken</w:t>
      </w:r>
    </w:p>
    <w:p w:rsidR="009479EB" w:rsidRDefault="009479EB" w:rsidP="009479EB">
      <w:pPr>
        <w:rPr>
          <w:rFonts w:hint="eastAsia"/>
          <w:b/>
          <w:bCs/>
        </w:rPr>
      </w:pPr>
      <w:r>
        <w:rPr>
          <w:rFonts w:hint="eastAsia"/>
          <w:b/>
          <w:bCs/>
        </w:rPr>
        <w:t>Proposal 1. RAN2 agrees that LTE Uu not to carry the IAB data during NR link is broken.</w:t>
      </w:r>
    </w:p>
    <w:p w:rsidR="009479EB" w:rsidRDefault="009479EB" w:rsidP="009479EB">
      <w:pPr>
        <w:rPr>
          <w:rFonts w:hint="eastAsia"/>
        </w:rPr>
      </w:pPr>
    </w:p>
    <w:p w:rsidR="009479EB" w:rsidRDefault="009479EB" w:rsidP="009479EB">
      <w:pPr>
        <w:rPr>
          <w:rFonts w:hint="eastAsia"/>
        </w:rPr>
      </w:pPr>
    </w:p>
    <w:p w:rsidR="00910CA4" w:rsidRPr="009479EB" w:rsidRDefault="00910CA4" w:rsidP="00910CA4">
      <w:pPr>
        <w:rPr>
          <w:rFonts w:eastAsiaTheme="minorEastAsia"/>
        </w:rPr>
      </w:pPr>
    </w:p>
    <w:p w:rsidR="00014797" w:rsidRDefault="00014797" w:rsidP="00014797">
      <w:pPr>
        <w:pStyle w:val="1"/>
      </w:pPr>
      <w:r>
        <w:rPr>
          <w:rFonts w:hint="eastAsia"/>
        </w:rPr>
        <w:lastRenderedPageBreak/>
        <w:t>3</w:t>
      </w:r>
      <w:r w:rsidRPr="00E57CEE">
        <w:rPr>
          <w:rFonts w:hint="eastAsia"/>
        </w:rPr>
        <w:t xml:space="preserve">. </w:t>
      </w:r>
      <w:r>
        <w:t xml:space="preserve">Conclusion </w:t>
      </w:r>
      <w:r>
        <w:t xml:space="preserve"> </w:t>
      </w:r>
    </w:p>
    <w:p w:rsidR="00014797" w:rsidRDefault="00014797" w:rsidP="00014797">
      <w:pPr>
        <w:rPr>
          <w:rFonts w:eastAsiaTheme="minorEastAsia"/>
          <w:lang w:val="en-GB"/>
        </w:rPr>
      </w:pPr>
      <w:r>
        <w:rPr>
          <w:rFonts w:eastAsiaTheme="minorEastAsia"/>
          <w:lang w:val="en-GB"/>
        </w:rPr>
        <w:t>I</w:t>
      </w:r>
      <w:r>
        <w:rPr>
          <w:rFonts w:eastAsiaTheme="minorEastAsia" w:hint="eastAsia"/>
          <w:lang w:val="en-GB"/>
        </w:rPr>
        <w:t xml:space="preserve">n </w:t>
      </w:r>
      <w:r>
        <w:rPr>
          <w:rFonts w:eastAsiaTheme="minorEastAsia"/>
          <w:lang w:val="en-GB"/>
        </w:rPr>
        <w:t xml:space="preserve">this paper, we have the following conclusion: </w:t>
      </w:r>
    </w:p>
    <w:p w:rsidR="00014797" w:rsidRDefault="00014797" w:rsidP="00014797">
      <w:pPr>
        <w:rPr>
          <w:rFonts w:hint="eastAsia"/>
          <w:b/>
          <w:bCs/>
        </w:rPr>
      </w:pPr>
      <w:r>
        <w:rPr>
          <w:rFonts w:hint="eastAsia"/>
          <w:b/>
          <w:bCs/>
        </w:rPr>
        <w:t>Proposal 1. RAN2 agrees that LTE Uu not to carry the IAB data during NR link is broken.</w:t>
      </w:r>
    </w:p>
    <w:p w:rsidR="00014797" w:rsidRPr="00014797" w:rsidRDefault="00014797" w:rsidP="00014797">
      <w:pPr>
        <w:rPr>
          <w:rFonts w:eastAsiaTheme="minorEastAsia" w:hint="eastAsia"/>
        </w:rPr>
      </w:pPr>
    </w:p>
    <w:sectPr w:rsidR="00014797" w:rsidRPr="00014797">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420C" w:rsidRDefault="0073420C" w:rsidP="004B2875">
      <w:pPr>
        <w:spacing w:after="0" w:line="240" w:lineRule="auto"/>
      </w:pPr>
      <w:r>
        <w:separator/>
      </w:r>
    </w:p>
  </w:endnote>
  <w:endnote w:type="continuationSeparator" w:id="0">
    <w:p w:rsidR="0073420C" w:rsidRDefault="0073420C" w:rsidP="004B28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420C" w:rsidRDefault="0073420C" w:rsidP="004B2875">
      <w:pPr>
        <w:spacing w:after="0" w:line="240" w:lineRule="auto"/>
      </w:pPr>
      <w:r>
        <w:separator/>
      </w:r>
    </w:p>
  </w:footnote>
  <w:footnote w:type="continuationSeparator" w:id="0">
    <w:p w:rsidR="0073420C" w:rsidRDefault="0073420C" w:rsidP="004B287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86108C"/>
    <w:multiLevelType w:val="hybridMultilevel"/>
    <w:tmpl w:val="142EA940"/>
    <w:lvl w:ilvl="0" w:tplc="6B62EFD4">
      <w:start w:val="1"/>
      <w:numFmt w:val="bullet"/>
      <w:lvlText w:val=""/>
      <w:lvlJc w:val="left"/>
      <w:pPr>
        <w:ind w:left="860" w:hanging="420"/>
      </w:pPr>
      <w:rPr>
        <w:rFonts w:ascii="Wingdings" w:hAnsi="Wingdings" w:hint="default"/>
      </w:rPr>
    </w:lvl>
    <w:lvl w:ilvl="1" w:tplc="0409000B">
      <w:start w:val="1"/>
      <w:numFmt w:val="bullet"/>
      <w:lvlText w:val=""/>
      <w:lvlJc w:val="left"/>
      <w:pPr>
        <w:ind w:left="1280" w:hanging="420"/>
      </w:pPr>
      <w:rPr>
        <w:rFonts w:ascii="Wingdings" w:hAnsi="Wingdings" w:hint="default"/>
      </w:rPr>
    </w:lvl>
    <w:lvl w:ilvl="2" w:tplc="0409000D">
      <w:start w:val="1"/>
      <w:numFmt w:val="bullet"/>
      <w:lvlText w:val=""/>
      <w:lvlJc w:val="left"/>
      <w:pPr>
        <w:ind w:left="1700" w:hanging="420"/>
      </w:pPr>
      <w:rPr>
        <w:rFonts w:ascii="Wingdings" w:hAnsi="Wingdings" w:hint="default"/>
      </w:rPr>
    </w:lvl>
    <w:lvl w:ilvl="3" w:tplc="04090001">
      <w:start w:val="1"/>
      <w:numFmt w:val="bullet"/>
      <w:lvlText w:val=""/>
      <w:lvlJc w:val="left"/>
      <w:pPr>
        <w:ind w:left="2120" w:hanging="420"/>
      </w:pPr>
      <w:rPr>
        <w:rFonts w:ascii="Wingdings" w:hAnsi="Wingdings" w:hint="default"/>
      </w:rPr>
    </w:lvl>
    <w:lvl w:ilvl="4" w:tplc="0409000B">
      <w:start w:val="1"/>
      <w:numFmt w:val="bullet"/>
      <w:lvlText w:val=""/>
      <w:lvlJc w:val="left"/>
      <w:pPr>
        <w:ind w:left="2540" w:hanging="420"/>
      </w:pPr>
      <w:rPr>
        <w:rFonts w:ascii="Wingdings" w:hAnsi="Wingdings" w:hint="default"/>
      </w:rPr>
    </w:lvl>
    <w:lvl w:ilvl="5" w:tplc="0409000D">
      <w:start w:val="1"/>
      <w:numFmt w:val="bullet"/>
      <w:lvlText w:val=""/>
      <w:lvlJc w:val="left"/>
      <w:pPr>
        <w:ind w:left="2960" w:hanging="420"/>
      </w:pPr>
      <w:rPr>
        <w:rFonts w:ascii="Wingdings" w:hAnsi="Wingdings" w:hint="default"/>
      </w:rPr>
    </w:lvl>
    <w:lvl w:ilvl="6" w:tplc="04090001">
      <w:start w:val="1"/>
      <w:numFmt w:val="bullet"/>
      <w:lvlText w:val=""/>
      <w:lvlJc w:val="left"/>
      <w:pPr>
        <w:ind w:left="3380" w:hanging="420"/>
      </w:pPr>
      <w:rPr>
        <w:rFonts w:ascii="Wingdings" w:hAnsi="Wingdings" w:hint="default"/>
      </w:rPr>
    </w:lvl>
    <w:lvl w:ilvl="7" w:tplc="0409000B">
      <w:start w:val="1"/>
      <w:numFmt w:val="bullet"/>
      <w:lvlText w:val=""/>
      <w:lvlJc w:val="left"/>
      <w:pPr>
        <w:ind w:left="3800" w:hanging="420"/>
      </w:pPr>
      <w:rPr>
        <w:rFonts w:ascii="Wingdings" w:hAnsi="Wingdings" w:hint="default"/>
      </w:rPr>
    </w:lvl>
    <w:lvl w:ilvl="8" w:tplc="0409000D">
      <w:start w:val="1"/>
      <w:numFmt w:val="bullet"/>
      <w:lvlText w:val=""/>
      <w:lvlJc w:val="left"/>
      <w:pPr>
        <w:ind w:left="4220" w:hanging="420"/>
      </w:pPr>
      <w:rPr>
        <w:rFonts w:ascii="Wingdings" w:hAnsi="Wingdings" w:hint="default"/>
      </w:rPr>
    </w:lvl>
  </w:abstractNum>
  <w:abstractNum w:abstractNumId="1" w15:restartNumberingAfterBreak="0">
    <w:nsid w:val="526E1BCB"/>
    <w:multiLevelType w:val="hybridMultilevel"/>
    <w:tmpl w:val="0B1698C6"/>
    <w:lvl w:ilvl="0" w:tplc="794CB6D8">
      <w:start w:val="4"/>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606965B2"/>
    <w:multiLevelType w:val="hybridMultilevel"/>
    <w:tmpl w:val="2F24F648"/>
    <w:lvl w:ilvl="0" w:tplc="0A2A38AA">
      <w:start w:val="2"/>
      <w:numFmt w:val="bullet"/>
      <w:lvlText w:val="-"/>
      <w:lvlJc w:val="left"/>
      <w:pPr>
        <w:ind w:left="760" w:hanging="360"/>
      </w:pPr>
      <w:rPr>
        <w:rFonts w:ascii="Calibri" w:eastAsiaTheme="minorEastAsia" w:hAnsi="Calibri"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3"/>
  </w:num>
  <w:num w:numId="4">
    <w:abstractNumId w:val="0"/>
  </w:num>
  <w:num w:numId="5">
    <w:abstractNumId w:val="3"/>
    <w:lvlOverride w:ilvl="0"/>
    <w:lvlOverride w:ilvl="1"/>
    <w:lvlOverride w:ilvl="2"/>
    <w:lvlOverride w:ilvl="3"/>
    <w:lvlOverride w:ilvl="4"/>
    <w:lvlOverride w:ilvl="5"/>
    <w:lvlOverride w:ilvl="6"/>
    <w:lvlOverride w:ilvl="7"/>
    <w:lvlOverride w:ilvl="8"/>
  </w:num>
  <w:num w:numId="6">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209"/>
    <w:rsid w:val="00014797"/>
    <w:rsid w:val="00033F41"/>
    <w:rsid w:val="00046839"/>
    <w:rsid w:val="001C1582"/>
    <w:rsid w:val="00221F71"/>
    <w:rsid w:val="00303209"/>
    <w:rsid w:val="004077E5"/>
    <w:rsid w:val="0042306F"/>
    <w:rsid w:val="004B2875"/>
    <w:rsid w:val="00584A85"/>
    <w:rsid w:val="005943ED"/>
    <w:rsid w:val="005A05D9"/>
    <w:rsid w:val="005A6BE9"/>
    <w:rsid w:val="006273EA"/>
    <w:rsid w:val="00646695"/>
    <w:rsid w:val="006E5910"/>
    <w:rsid w:val="0073420C"/>
    <w:rsid w:val="00846938"/>
    <w:rsid w:val="00862109"/>
    <w:rsid w:val="008D7364"/>
    <w:rsid w:val="00910CA4"/>
    <w:rsid w:val="00930471"/>
    <w:rsid w:val="00940F74"/>
    <w:rsid w:val="009479EB"/>
    <w:rsid w:val="00965B5F"/>
    <w:rsid w:val="009C1514"/>
    <w:rsid w:val="009C71AD"/>
    <w:rsid w:val="00AE7DF6"/>
    <w:rsid w:val="00B111DD"/>
    <w:rsid w:val="00B420F0"/>
    <w:rsid w:val="00B5551F"/>
    <w:rsid w:val="00B62108"/>
    <w:rsid w:val="00B91326"/>
    <w:rsid w:val="00C30789"/>
    <w:rsid w:val="00C61031"/>
    <w:rsid w:val="00D5117B"/>
    <w:rsid w:val="00D52987"/>
    <w:rsid w:val="00E07F30"/>
    <w:rsid w:val="00E831A1"/>
    <w:rsid w:val="00E872CD"/>
    <w:rsid w:val="00F035BC"/>
    <w:rsid w:val="00F24F61"/>
    <w:rsid w:val="00F4542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7EC550"/>
  <w15:chartTrackingRefBased/>
  <w15:docId w15:val="{C40608D6-FD3D-4D0E-ADFA-24B905D5E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For Tdoc main body"/>
    <w:qFormat/>
    <w:rsid w:val="00303209"/>
    <w:pPr>
      <w:widowControl w:val="0"/>
      <w:wordWrap w:val="0"/>
      <w:autoSpaceDE w:val="0"/>
      <w:autoSpaceDN w:val="0"/>
    </w:pPr>
    <w:rPr>
      <w:rFonts w:ascii="Calibri" w:eastAsia="Calibri" w:hAnsi="Calibri"/>
    </w:rPr>
  </w:style>
  <w:style w:type="paragraph" w:styleId="1">
    <w:name w:val="heading 1"/>
    <w:basedOn w:val="a0"/>
    <w:next w:val="a"/>
    <w:link w:val="1Char"/>
    <w:qFormat/>
    <w:rsid w:val="00303209"/>
    <w:pPr>
      <w:keepNext/>
      <w:keepLines/>
      <w:pBdr>
        <w:top w:val="single" w:sz="12" w:space="3" w:color="auto"/>
      </w:pBdr>
      <w:tabs>
        <w:tab w:val="clear" w:pos="4513"/>
        <w:tab w:val="clear" w:pos="9026"/>
      </w:tabs>
      <w:wordWrap/>
      <w:overflowPunct w:val="0"/>
      <w:adjustRightInd w:val="0"/>
      <w:snapToGrid/>
      <w:spacing w:before="240" w:after="180" w:line="240" w:lineRule="auto"/>
      <w:ind w:left="420" w:hanging="420"/>
      <w:jc w:val="left"/>
      <w:textAlignment w:val="baseline"/>
      <w:outlineLvl w:val="0"/>
    </w:pPr>
    <w:rPr>
      <w:rFonts w:ascii="Arial" w:eastAsia="Arial" w:hAnsi="Arial" w:cs="Times New Roman"/>
      <w:kern w:val="0"/>
      <w:sz w:val="36"/>
      <w:szCs w:val="20"/>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rsid w:val="00303209"/>
    <w:rPr>
      <w:rFonts w:ascii="Arial" w:eastAsia="Arial" w:hAnsi="Arial" w:cs="Times New Roman"/>
      <w:kern w:val="0"/>
      <w:sz w:val="36"/>
      <w:szCs w:val="20"/>
      <w:lang w:val="en-GB" w:eastAsia="en-US"/>
    </w:rPr>
  </w:style>
  <w:style w:type="paragraph" w:customStyle="1" w:styleId="Agreement">
    <w:name w:val="Agreement"/>
    <w:basedOn w:val="a"/>
    <w:next w:val="a"/>
    <w:rsid w:val="00303209"/>
    <w:pPr>
      <w:widowControl/>
      <w:numPr>
        <w:numId w:val="1"/>
      </w:numPr>
      <w:wordWrap/>
      <w:autoSpaceDE/>
      <w:autoSpaceDN/>
      <w:spacing w:before="60" w:after="0" w:line="240" w:lineRule="auto"/>
      <w:jc w:val="left"/>
    </w:pPr>
    <w:rPr>
      <w:rFonts w:ascii="Arial" w:eastAsia="MS Mincho" w:hAnsi="Arial" w:cs="Times New Roman"/>
      <w:b/>
      <w:kern w:val="0"/>
      <w:szCs w:val="24"/>
      <w:lang w:val="en-GB" w:eastAsia="en-GB"/>
    </w:rPr>
  </w:style>
  <w:style w:type="paragraph" w:styleId="a0">
    <w:name w:val="header"/>
    <w:basedOn w:val="a"/>
    <w:link w:val="Char"/>
    <w:uiPriority w:val="99"/>
    <w:unhideWhenUsed/>
    <w:rsid w:val="00303209"/>
    <w:pPr>
      <w:tabs>
        <w:tab w:val="center" w:pos="4513"/>
        <w:tab w:val="right" w:pos="9026"/>
      </w:tabs>
      <w:snapToGrid w:val="0"/>
    </w:pPr>
  </w:style>
  <w:style w:type="character" w:customStyle="1" w:styleId="Char">
    <w:name w:val="머리글 Char"/>
    <w:basedOn w:val="a1"/>
    <w:link w:val="a0"/>
    <w:uiPriority w:val="99"/>
    <w:rsid w:val="00303209"/>
    <w:rPr>
      <w:rFonts w:ascii="Calibri" w:eastAsia="Calibri" w:hAnsi="Calibri"/>
    </w:rPr>
  </w:style>
  <w:style w:type="paragraph" w:styleId="a4">
    <w:name w:val="List Paragraph"/>
    <w:basedOn w:val="a"/>
    <w:link w:val="Char0"/>
    <w:uiPriority w:val="34"/>
    <w:qFormat/>
    <w:rsid w:val="006E5910"/>
    <w:pPr>
      <w:ind w:leftChars="400" w:left="800"/>
    </w:pPr>
  </w:style>
  <w:style w:type="paragraph" w:styleId="a5">
    <w:name w:val="footer"/>
    <w:basedOn w:val="a"/>
    <w:link w:val="Char1"/>
    <w:uiPriority w:val="99"/>
    <w:unhideWhenUsed/>
    <w:rsid w:val="004B2875"/>
    <w:pPr>
      <w:tabs>
        <w:tab w:val="center" w:pos="4513"/>
        <w:tab w:val="right" w:pos="9026"/>
      </w:tabs>
      <w:snapToGrid w:val="0"/>
    </w:pPr>
  </w:style>
  <w:style w:type="character" w:customStyle="1" w:styleId="Char1">
    <w:name w:val="바닥글 Char"/>
    <w:basedOn w:val="a1"/>
    <w:link w:val="a5"/>
    <w:uiPriority w:val="99"/>
    <w:rsid w:val="004B2875"/>
    <w:rPr>
      <w:rFonts w:ascii="Calibri" w:eastAsia="Calibri" w:hAnsi="Calibri"/>
    </w:rPr>
  </w:style>
  <w:style w:type="character" w:customStyle="1" w:styleId="Char0">
    <w:name w:val="목록 단락 Char"/>
    <w:basedOn w:val="a1"/>
    <w:link w:val="a4"/>
    <w:uiPriority w:val="34"/>
    <w:locked/>
    <w:rsid w:val="00E872CD"/>
    <w:rPr>
      <w:rFonts w:ascii="Calibri" w:eastAsia="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153949">
      <w:bodyDiv w:val="1"/>
      <w:marLeft w:val="0"/>
      <w:marRight w:val="0"/>
      <w:marTop w:val="0"/>
      <w:marBottom w:val="0"/>
      <w:divBdr>
        <w:top w:val="none" w:sz="0" w:space="0" w:color="auto"/>
        <w:left w:val="none" w:sz="0" w:space="0" w:color="auto"/>
        <w:bottom w:val="none" w:sz="0" w:space="0" w:color="auto"/>
        <w:right w:val="none" w:sz="0" w:space="0" w:color="auto"/>
      </w:divBdr>
    </w:div>
    <w:div w:id="1105615210">
      <w:bodyDiv w:val="1"/>
      <w:marLeft w:val="0"/>
      <w:marRight w:val="0"/>
      <w:marTop w:val="0"/>
      <w:marBottom w:val="0"/>
      <w:divBdr>
        <w:top w:val="none" w:sz="0" w:space="0" w:color="auto"/>
        <w:left w:val="none" w:sz="0" w:space="0" w:color="auto"/>
        <w:bottom w:val="none" w:sz="0" w:space="0" w:color="auto"/>
        <w:right w:val="none" w:sz="0" w:space="0" w:color="auto"/>
      </w:divBdr>
    </w:div>
    <w:div w:id="1534884520">
      <w:bodyDiv w:val="1"/>
      <w:marLeft w:val="0"/>
      <w:marRight w:val="0"/>
      <w:marTop w:val="0"/>
      <w:marBottom w:val="0"/>
      <w:divBdr>
        <w:top w:val="none" w:sz="0" w:space="0" w:color="auto"/>
        <w:left w:val="none" w:sz="0" w:space="0" w:color="auto"/>
        <w:bottom w:val="none" w:sz="0" w:space="0" w:color="auto"/>
        <w:right w:val="none" w:sz="0" w:space="0" w:color="auto"/>
      </w:divBdr>
    </w:div>
    <w:div w:id="1555964854">
      <w:bodyDiv w:val="1"/>
      <w:marLeft w:val="0"/>
      <w:marRight w:val="0"/>
      <w:marTop w:val="0"/>
      <w:marBottom w:val="0"/>
      <w:divBdr>
        <w:top w:val="none" w:sz="0" w:space="0" w:color="auto"/>
        <w:left w:val="none" w:sz="0" w:space="0" w:color="auto"/>
        <w:bottom w:val="none" w:sz="0" w:space="0" w:color="auto"/>
        <w:right w:val="none" w:sz="0" w:space="0" w:color="auto"/>
      </w:divBdr>
    </w:div>
    <w:div w:id="1654411149">
      <w:bodyDiv w:val="1"/>
      <w:marLeft w:val="0"/>
      <w:marRight w:val="0"/>
      <w:marTop w:val="0"/>
      <w:marBottom w:val="0"/>
      <w:divBdr>
        <w:top w:val="none" w:sz="0" w:space="0" w:color="auto"/>
        <w:left w:val="none" w:sz="0" w:space="0" w:color="auto"/>
        <w:bottom w:val="none" w:sz="0" w:space="0" w:color="auto"/>
        <w:right w:val="none" w:sz="0" w:space="0" w:color="auto"/>
      </w:divBdr>
    </w:div>
    <w:div w:id="1670906701">
      <w:bodyDiv w:val="1"/>
      <w:marLeft w:val="0"/>
      <w:marRight w:val="0"/>
      <w:marTop w:val="0"/>
      <w:marBottom w:val="0"/>
      <w:divBdr>
        <w:top w:val="none" w:sz="0" w:space="0" w:color="auto"/>
        <w:left w:val="none" w:sz="0" w:space="0" w:color="auto"/>
        <w:bottom w:val="none" w:sz="0" w:space="0" w:color="auto"/>
        <w:right w:val="none" w:sz="0" w:space="0" w:color="auto"/>
      </w:divBdr>
    </w:div>
    <w:div w:id="1770201701">
      <w:bodyDiv w:val="1"/>
      <w:marLeft w:val="0"/>
      <w:marRight w:val="0"/>
      <w:marTop w:val="0"/>
      <w:marBottom w:val="0"/>
      <w:divBdr>
        <w:top w:val="none" w:sz="0" w:space="0" w:color="auto"/>
        <w:left w:val="none" w:sz="0" w:space="0" w:color="auto"/>
        <w:bottom w:val="none" w:sz="0" w:space="0" w:color="auto"/>
        <w:right w:val="none" w:sz="0" w:space="0" w:color="auto"/>
      </w:divBdr>
    </w:div>
    <w:div w:id="1899396296">
      <w:bodyDiv w:val="1"/>
      <w:marLeft w:val="0"/>
      <w:marRight w:val="0"/>
      <w:marTop w:val="0"/>
      <w:marBottom w:val="0"/>
      <w:divBdr>
        <w:top w:val="none" w:sz="0" w:space="0" w:color="auto"/>
        <w:left w:val="none" w:sz="0" w:space="0" w:color="auto"/>
        <w:bottom w:val="none" w:sz="0" w:space="0" w:color="auto"/>
        <w:right w:val="none" w:sz="0" w:space="0" w:color="auto"/>
      </w:divBdr>
    </w:div>
    <w:div w:id="1928921877">
      <w:bodyDiv w:val="1"/>
      <w:marLeft w:val="0"/>
      <w:marRight w:val="0"/>
      <w:marTop w:val="0"/>
      <w:marBottom w:val="0"/>
      <w:divBdr>
        <w:top w:val="none" w:sz="0" w:space="0" w:color="auto"/>
        <w:left w:val="none" w:sz="0" w:space="0" w:color="auto"/>
        <w:bottom w:val="none" w:sz="0" w:space="0" w:color="auto"/>
        <w:right w:val="none" w:sz="0" w:space="0" w:color="auto"/>
      </w:divBdr>
    </w:div>
    <w:div w:id="2046328287">
      <w:bodyDiv w:val="1"/>
      <w:marLeft w:val="0"/>
      <w:marRight w:val="0"/>
      <w:marTop w:val="0"/>
      <w:marBottom w:val="0"/>
      <w:divBdr>
        <w:top w:val="none" w:sz="0" w:space="0" w:color="auto"/>
        <w:left w:val="none" w:sz="0" w:space="0" w:color="auto"/>
        <w:bottom w:val="none" w:sz="0" w:space="0" w:color="auto"/>
        <w:right w:val="none" w:sz="0" w:space="0" w:color="auto"/>
      </w:divBdr>
    </w:div>
    <w:div w:id="2063285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254</Words>
  <Characters>1450</Characters>
  <Application>Microsoft Office Word</Application>
  <DocSecurity>0</DocSecurity>
  <Lines>12</Lines>
  <Paragraphs>3</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1701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황준/표준Research 1Lab(SR)/Staff Engineer/삼성전자</dc:creator>
  <cp:keywords/>
  <dc:description/>
  <cp:lastModifiedBy>황준/표준Research 1Lab(SR)/Staff Engineer/삼성전자</cp:lastModifiedBy>
  <cp:revision>2</cp:revision>
  <dcterms:created xsi:type="dcterms:W3CDTF">2019-08-16T06:11:00Z</dcterms:created>
  <dcterms:modified xsi:type="dcterms:W3CDTF">2019-08-16T06:11:00Z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D:\각종 참고자료 temporal repository to note book\Labtop\3GPP RAN2 회의 참석시 데이터\RAN2#105b\[IAB] emails\R2-190xxxx RLF handling in DC for IAB.docx</vt:lpwstr>
  </property>
</Properties>
</file>